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AA" w:rsidRDefault="007A71AA" w:rsidP="007A71AA">
      <w:pPr>
        <w:pStyle w:val="NormalWeb"/>
        <w:ind w:left="720"/>
        <w:rPr>
          <w:b/>
          <w:bCs/>
          <w:sz w:val="28"/>
          <w:szCs w:val="28"/>
        </w:rPr>
      </w:pPr>
      <w:r w:rsidRPr="00513631">
        <w:rPr>
          <w:b/>
          <w:bCs/>
          <w:sz w:val="28"/>
          <w:szCs w:val="28"/>
        </w:rPr>
        <w:t xml:space="preserve">The Ending Cancer in Our </w:t>
      </w:r>
      <w:r>
        <w:rPr>
          <w:b/>
          <w:bCs/>
          <w:sz w:val="28"/>
          <w:szCs w:val="28"/>
        </w:rPr>
        <w:t>Generation</w:t>
      </w:r>
      <w:r w:rsidRPr="00513631">
        <w:rPr>
          <w:b/>
          <w:bCs/>
          <w:sz w:val="28"/>
          <w:szCs w:val="28"/>
        </w:rPr>
        <w:t>- Silent Auction Benefit Concert for Young Adult Cancer Awareness</w:t>
      </w:r>
      <w:r>
        <w:rPr>
          <w:b/>
          <w:bCs/>
          <w:sz w:val="28"/>
          <w:szCs w:val="28"/>
        </w:rPr>
        <w:t>, October 22nd, Troy, IL (Tentative)</w:t>
      </w:r>
    </w:p>
    <w:p w:rsidR="007A71AA" w:rsidRDefault="007A71AA" w:rsidP="007A71AA">
      <w:pPr>
        <w:pStyle w:val="NormalWeb"/>
        <w:ind w:left="720"/>
        <w:rPr>
          <w:b/>
          <w:bCs/>
          <w:sz w:val="22"/>
          <w:szCs w:val="22"/>
        </w:rPr>
      </w:pPr>
      <w:r>
        <w:rPr>
          <w:bCs/>
          <w:sz w:val="22"/>
          <w:szCs w:val="22"/>
        </w:rPr>
        <w:t xml:space="preserve">In 2005, I was diagnosed with Glioblastoma Multiforme, an aggressive form of brain cancer, while completing my final year at ISU. I had no idea that every year 70,000 young adults are diagnosed with cancer or that of the 30 million college students there are now, 1 in every 100 are a cancer survivor. These statistics remain constant in our age group and the purpose of this concert is to raise awareness while also raising money for some of the top names in the Young Adult cancer awareness movement. The earlier a cancer is found the better the odds of survival are, with college students juggling many other life elements; it can be difficult to understand that young adult can and do get cancer and it can happen to them. </w:t>
      </w:r>
      <w:r>
        <w:rPr>
          <w:bCs/>
          <w:sz w:val="22"/>
          <w:szCs w:val="22"/>
        </w:rPr>
        <w:br/>
      </w:r>
      <w:r w:rsidRPr="00513631">
        <w:rPr>
          <w:b/>
          <w:bCs/>
          <w:u w:val="single"/>
        </w:rPr>
        <w:t>Charities</w:t>
      </w:r>
      <w:proofErr w:type="gramStart"/>
      <w:r w:rsidRPr="00513631">
        <w:rPr>
          <w:b/>
          <w:bCs/>
          <w:u w:val="single"/>
        </w:rPr>
        <w:t>:</w:t>
      </w:r>
      <w:proofErr w:type="gramEnd"/>
      <w:r>
        <w:rPr>
          <w:b/>
          <w:bCs/>
          <w:u w:val="single"/>
        </w:rPr>
        <w:br/>
      </w:r>
      <w:r>
        <w:rPr>
          <w:b/>
          <w:bCs/>
        </w:rPr>
        <w:t>Ending Cancer In Our Generation Foundation</w:t>
      </w:r>
      <w:r>
        <w:rPr>
          <w:b/>
          <w:bCs/>
        </w:rPr>
        <w:br/>
      </w:r>
      <w:r w:rsidRPr="0031473A">
        <w:rPr>
          <w:bCs/>
        </w:rPr>
        <w:t>Ending Cancer in Our Generation is a</w:t>
      </w:r>
      <w:r>
        <w:rPr>
          <w:b/>
          <w:bCs/>
        </w:rPr>
        <w:t xml:space="preserve"> </w:t>
      </w:r>
      <w:r>
        <w:rPr>
          <w:b/>
          <w:bCs/>
        </w:rPr>
        <w:br/>
      </w:r>
      <w:r>
        <w:t>Our mission is to create an online community where anyone touched by cancer can share their experience through their varying art forms. The larger mission is to promote survivorship and life after cancer diagnosis and treatment</w:t>
      </w:r>
      <w:r>
        <w:br/>
      </w:r>
      <w:hyperlink r:id="rId8" w:history="1">
        <w:r w:rsidRPr="0031473A">
          <w:rPr>
            <w:rStyle w:val="Hyperlink"/>
            <w:b/>
          </w:rPr>
          <w:t>www.endingcancerinourgeneration.org</w:t>
        </w:r>
      </w:hyperlink>
      <w:r>
        <w:t xml:space="preserve"> </w:t>
      </w:r>
      <w:r>
        <w:br/>
      </w:r>
      <w:r>
        <w:rPr>
          <w:b/>
          <w:bCs/>
          <w:sz w:val="22"/>
          <w:szCs w:val="22"/>
        </w:rPr>
        <w:br/>
      </w:r>
      <w:r w:rsidRPr="00513631">
        <w:rPr>
          <w:b/>
          <w:bCs/>
          <w:sz w:val="22"/>
          <w:szCs w:val="22"/>
        </w:rPr>
        <w:t xml:space="preserve">I'm </w:t>
      </w:r>
      <w:proofErr w:type="gramStart"/>
      <w:r w:rsidRPr="00513631">
        <w:rPr>
          <w:b/>
          <w:bCs/>
          <w:sz w:val="22"/>
          <w:szCs w:val="22"/>
        </w:rPr>
        <w:t>Too</w:t>
      </w:r>
      <w:proofErr w:type="gramEnd"/>
      <w:r w:rsidRPr="00513631">
        <w:rPr>
          <w:b/>
          <w:bCs/>
          <w:sz w:val="22"/>
          <w:szCs w:val="22"/>
        </w:rPr>
        <w:t xml:space="preserve"> Young For This! Cancer Foundation, Inc. </w:t>
      </w:r>
      <w:r w:rsidRPr="00513631">
        <w:rPr>
          <w:b/>
          <w:bCs/>
          <w:sz w:val="22"/>
          <w:szCs w:val="22"/>
        </w:rPr>
        <w:br/>
      </w:r>
      <w:r w:rsidRPr="00513631">
        <w:rPr>
          <w:sz w:val="22"/>
          <w:szCs w:val="22"/>
        </w:rPr>
        <w:t>A 501(c)3 Nonprofit Organization Registered in New York</w:t>
      </w:r>
      <w:r w:rsidRPr="00513631">
        <w:rPr>
          <w:sz w:val="22"/>
          <w:szCs w:val="22"/>
        </w:rPr>
        <w:br/>
        <w:t xml:space="preserve">Improve both survival rates and quality of life for young adults living with, through and beyond cancer, while empowering them to achieve their peak potential and get busy living through their survivorship. </w:t>
      </w:r>
      <w:r w:rsidRPr="00513631">
        <w:rPr>
          <w:sz w:val="22"/>
          <w:szCs w:val="22"/>
        </w:rPr>
        <w:br/>
      </w:r>
      <w:hyperlink r:id="rId9" w:history="1">
        <w:r w:rsidRPr="00513631">
          <w:rPr>
            <w:rStyle w:val="Hyperlink"/>
            <w:b/>
            <w:sz w:val="22"/>
            <w:szCs w:val="22"/>
          </w:rPr>
          <w:t>http://i2y.com/index.shtml</w:t>
        </w:r>
      </w:hyperlink>
      <w:r w:rsidRPr="00513631">
        <w:rPr>
          <w:sz w:val="22"/>
          <w:szCs w:val="22"/>
        </w:rPr>
        <w:br/>
      </w:r>
      <w:r w:rsidRPr="00513631">
        <w:rPr>
          <w:sz w:val="22"/>
          <w:szCs w:val="22"/>
        </w:rPr>
        <w:br/>
      </w:r>
      <w:proofErr w:type="spellStart"/>
      <w:r w:rsidRPr="00513631">
        <w:rPr>
          <w:b/>
          <w:sz w:val="22"/>
          <w:szCs w:val="22"/>
        </w:rPr>
        <w:t>SAMFund</w:t>
      </w:r>
      <w:proofErr w:type="spellEnd"/>
      <w:r w:rsidRPr="00513631">
        <w:rPr>
          <w:b/>
          <w:sz w:val="22"/>
          <w:szCs w:val="22"/>
        </w:rPr>
        <w:t xml:space="preserve"> (Surviving and Moving Forward</w:t>
      </w:r>
      <w:proofErr w:type="gramStart"/>
      <w:r w:rsidRPr="00513631">
        <w:rPr>
          <w:b/>
          <w:sz w:val="22"/>
          <w:szCs w:val="22"/>
        </w:rPr>
        <w:t>)</w:t>
      </w:r>
      <w:proofErr w:type="gramEnd"/>
      <w:r w:rsidRPr="00513631">
        <w:rPr>
          <w:b/>
          <w:sz w:val="22"/>
          <w:szCs w:val="22"/>
        </w:rPr>
        <w:br/>
      </w:r>
      <w:r w:rsidRPr="00513631">
        <w:rPr>
          <w:sz w:val="22"/>
          <w:szCs w:val="22"/>
        </w:rPr>
        <w:t xml:space="preserve">The </w:t>
      </w:r>
      <w:proofErr w:type="spellStart"/>
      <w:r w:rsidRPr="00513631">
        <w:rPr>
          <w:sz w:val="22"/>
          <w:szCs w:val="22"/>
        </w:rPr>
        <w:t>SAMFund</w:t>
      </w:r>
      <w:proofErr w:type="spellEnd"/>
      <w:r w:rsidRPr="00513631">
        <w:rPr>
          <w:sz w:val="22"/>
          <w:szCs w:val="22"/>
        </w:rPr>
        <w:t xml:space="preserve"> is a 501 (c)(3) Not-For-Profit Organization.</w:t>
      </w:r>
      <w:r w:rsidRPr="00513631">
        <w:rPr>
          <w:sz w:val="22"/>
          <w:szCs w:val="22"/>
        </w:rPr>
        <w:br/>
        <w:t xml:space="preserve">The </w:t>
      </w:r>
      <w:proofErr w:type="spellStart"/>
      <w:r w:rsidRPr="00513631">
        <w:rPr>
          <w:sz w:val="22"/>
          <w:szCs w:val="22"/>
        </w:rPr>
        <w:t>SAMFund</w:t>
      </w:r>
      <w:proofErr w:type="spellEnd"/>
      <w:r w:rsidRPr="00513631">
        <w:rPr>
          <w:sz w:val="22"/>
          <w:szCs w:val="22"/>
        </w:rPr>
        <w:t xml:space="preserve"> provides grants and scholarships to young adult survivors to help supplement money that was lost during treatment. The grants and scholarships we provide help pay for transitional issues such as education, living, job search and lingering medical expenses. We will partner with existing organizations to provide the best support possible so that these young adults can not only survive, but truly </w:t>
      </w:r>
      <w:r w:rsidRPr="00372644">
        <w:rPr>
          <w:rStyle w:val="Strong"/>
          <w:b w:val="0"/>
          <w:sz w:val="22"/>
          <w:szCs w:val="22"/>
        </w:rPr>
        <w:t>move forward</w:t>
      </w:r>
      <w:r w:rsidRPr="00372644">
        <w:rPr>
          <w:b/>
          <w:sz w:val="22"/>
          <w:szCs w:val="22"/>
        </w:rPr>
        <w:t>.</w:t>
      </w:r>
      <w:r w:rsidRPr="00513631">
        <w:rPr>
          <w:sz w:val="22"/>
          <w:szCs w:val="22"/>
        </w:rPr>
        <w:br/>
      </w:r>
      <w:hyperlink r:id="rId10" w:history="1">
        <w:r w:rsidRPr="00513631">
          <w:rPr>
            <w:rStyle w:val="Hyperlink"/>
            <w:b/>
            <w:sz w:val="22"/>
            <w:szCs w:val="22"/>
          </w:rPr>
          <w:t>http://www.thesamfund.org/</w:t>
        </w:r>
      </w:hyperlink>
      <w:r w:rsidRPr="00513631">
        <w:rPr>
          <w:b/>
          <w:sz w:val="22"/>
          <w:szCs w:val="22"/>
        </w:rPr>
        <w:br/>
        <w:t>Spirit Jump</w:t>
      </w:r>
      <w:r w:rsidRPr="00513631">
        <w:rPr>
          <w:b/>
          <w:sz w:val="22"/>
          <w:szCs w:val="22"/>
        </w:rPr>
        <w:br/>
      </w:r>
      <w:r w:rsidRPr="00513631">
        <w:rPr>
          <w:sz w:val="22"/>
          <w:szCs w:val="22"/>
        </w:rPr>
        <w:t>Spirit Jump is a 501(c)(3) grassroots nonprofit organization</w:t>
      </w:r>
      <w:r w:rsidRPr="00513631">
        <w:rPr>
          <w:sz w:val="22"/>
          <w:szCs w:val="22"/>
        </w:rPr>
        <w:br/>
        <w:t>Spirit Jump’s mission is to provide hope and comfort to the many men, women and children battling cancer. Spirit Jump accomplishes this by providing uplifting cards and inspirational gifts during this most difficult time.</w:t>
      </w:r>
      <w:r w:rsidRPr="00513631">
        <w:rPr>
          <w:sz w:val="22"/>
          <w:szCs w:val="22"/>
        </w:rPr>
        <w:br/>
      </w:r>
      <w:hyperlink r:id="rId11" w:history="1">
        <w:r w:rsidRPr="00513631">
          <w:rPr>
            <w:rStyle w:val="Hyperlink"/>
            <w:b/>
            <w:sz w:val="22"/>
            <w:szCs w:val="22"/>
          </w:rPr>
          <w:t>http://spiritjump.blogspot.com/</w:t>
        </w:r>
      </w:hyperlink>
      <w:r>
        <w:br/>
      </w:r>
      <w:r w:rsidRPr="0031473A">
        <w:rPr>
          <w:b/>
        </w:rPr>
        <w:t>Cameron Siemers Foundation for Hope</w:t>
      </w:r>
      <w:r>
        <w:rPr>
          <w:b/>
        </w:rPr>
        <w:br/>
      </w:r>
      <w:r>
        <w:t>Cameron Siemers Foundation for Hope is a registered not for profit</w:t>
      </w:r>
      <w:r>
        <w:br/>
        <w:t>The Cameron Siemers Foundation for Hope is a non-profit organization that supports young adults with life-threatening illnesses. Our major program is called Life Grants™. Each year, the Cameron Siemers Foundation for Hope awards a minimum of four Life Grants to young adults who are living with life-threatening illnesses. A Life Grant is an award of up to $5,000 to help young adults make a difference in their lives and their communities.</w:t>
      </w:r>
      <w:r>
        <w:br/>
      </w:r>
      <w:hyperlink r:id="rId12" w:history="1">
        <w:r w:rsidRPr="0031473A">
          <w:rPr>
            <w:rStyle w:val="Hyperlink"/>
            <w:b/>
          </w:rPr>
          <w:t>http://www.cameronsiemers.org/</w:t>
        </w:r>
      </w:hyperlink>
    </w:p>
    <w:p w:rsidR="000666E9" w:rsidRPr="006D13F8" w:rsidRDefault="00A80017" w:rsidP="007A71AA">
      <w:pPr>
        <w:pStyle w:val="NormalWeb"/>
        <w:ind w:left="720"/>
        <w:rPr>
          <w:sz w:val="22"/>
          <w:szCs w:val="22"/>
        </w:rPr>
      </w:pPr>
      <w:r w:rsidRPr="00A80017">
        <w:rPr>
          <w:b/>
          <w:bCs/>
          <w:sz w:val="22"/>
          <w:szCs w:val="22"/>
        </w:rPr>
        <w:lastRenderedPageBreak/>
        <w:t>Events</w:t>
      </w:r>
      <w:r w:rsidRPr="00A80017">
        <w:rPr>
          <w:b/>
          <w:bCs/>
          <w:sz w:val="22"/>
          <w:szCs w:val="22"/>
        </w:rPr>
        <w:br/>
      </w:r>
      <w:proofErr w:type="gramStart"/>
      <w:r>
        <w:rPr>
          <w:bCs/>
          <w:sz w:val="22"/>
          <w:szCs w:val="22"/>
        </w:rPr>
        <w:t>The</w:t>
      </w:r>
      <w:proofErr w:type="gramEnd"/>
      <w:r>
        <w:rPr>
          <w:bCs/>
          <w:sz w:val="22"/>
          <w:szCs w:val="22"/>
        </w:rPr>
        <w:t xml:space="preserve"> event will provide tables of awareness materials for several d</w:t>
      </w:r>
      <w:r w:rsidR="009D3C57">
        <w:rPr>
          <w:bCs/>
          <w:sz w:val="22"/>
          <w:szCs w:val="22"/>
        </w:rPr>
        <w:t>ifferent cancer organizations free for all attendees. There will be guest survivor speakers to bring the message home to the students, as well as food to be served. Press releases have been written and will be sent out at a date closer to the event. It will be mar</w:t>
      </w:r>
      <w:r w:rsidR="00607AF4">
        <w:rPr>
          <w:bCs/>
          <w:sz w:val="22"/>
          <w:szCs w:val="22"/>
        </w:rPr>
        <w:t xml:space="preserve">keted both online and in print and will be a great way to show that your business cares about young adults. </w:t>
      </w:r>
    </w:p>
    <w:p w:rsidR="00CE2BF3" w:rsidRPr="00CE2BF3" w:rsidRDefault="00CE2BF3" w:rsidP="00CE2BF3">
      <w:pPr>
        <w:pStyle w:val="NormalWeb"/>
        <w:ind w:left="90" w:firstLine="90"/>
        <w:rPr>
          <w:b/>
        </w:rPr>
      </w:pPr>
      <w:r w:rsidRPr="00CE2BF3">
        <w:rPr>
          <w:rFonts w:ascii="Eras Bold ITC" w:hAnsi="Eras Bold ITC"/>
          <w:sz w:val="32"/>
          <w:szCs w:val="32"/>
        </w:rPr>
        <w:t>Ending Cancer in Our Generation Fund Raising Sheet</w:t>
      </w:r>
      <w:r>
        <w:rPr>
          <w:b/>
        </w:rPr>
        <w:br/>
      </w:r>
      <w:r w:rsidR="00357CDF">
        <w:rPr>
          <w:b/>
        </w:rPr>
        <w:br/>
      </w:r>
      <w:r>
        <w:t xml:space="preserve">This benefit could not be a great as it could be without your help. The typical fundraising events are ideal for this benefit. Please use this sheet to keep track of who donated to send thank you cards if you desire. When you send the money, please email me for my address: </w:t>
      </w:r>
      <w:hyperlink r:id="rId13" w:history="1">
        <w:r w:rsidRPr="00BB3813">
          <w:rPr>
            <w:rStyle w:val="Hyperlink"/>
          </w:rPr>
          <w:t>jakirch@gmail.com</w:t>
        </w:r>
      </w:hyperlink>
      <w:r>
        <w:t>. I will make sure that you are added to the Sponsor section of the website and that you are included in the awareness pamphlet. Also you will be able to tell me what kind of basket you would like it contributed to as well; if none is selected I will spend it on necessary purchases for the event to succeed. Thank you again for all your help!</w:t>
      </w: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2236"/>
        <w:gridCol w:w="4439"/>
        <w:gridCol w:w="2793"/>
      </w:tblGrid>
      <w:tr w:rsidR="00CE2BF3" w:rsidRPr="00D506FC" w:rsidTr="00D506FC">
        <w:tc>
          <w:tcPr>
            <w:tcW w:w="2236" w:type="dxa"/>
            <w:tcBorders>
              <w:top w:val="single" w:sz="8" w:space="0" w:color="404040"/>
              <w:left w:val="single" w:sz="8" w:space="0" w:color="404040"/>
              <w:bottom w:val="single" w:sz="8" w:space="0" w:color="404040"/>
              <w:right w:val="nil"/>
            </w:tcBorders>
            <w:shd w:val="clear" w:color="auto" w:fill="000000"/>
          </w:tcPr>
          <w:p w:rsidR="00CE2BF3" w:rsidRPr="00D506FC" w:rsidRDefault="00CE2BF3" w:rsidP="00CE2BF3">
            <w:pPr>
              <w:pStyle w:val="NormalWeb"/>
              <w:rPr>
                <w:b/>
                <w:bCs/>
                <w:color w:val="FFFFFF"/>
              </w:rPr>
            </w:pPr>
            <w:r w:rsidRPr="00D506FC">
              <w:rPr>
                <w:b/>
                <w:bCs/>
                <w:color w:val="FFFFFF"/>
              </w:rPr>
              <w:t>Name</w:t>
            </w:r>
          </w:p>
        </w:tc>
        <w:tc>
          <w:tcPr>
            <w:tcW w:w="4439" w:type="dxa"/>
            <w:tcBorders>
              <w:top w:val="single" w:sz="8" w:space="0" w:color="404040"/>
              <w:left w:val="nil"/>
              <w:bottom w:val="single" w:sz="8" w:space="0" w:color="404040"/>
              <w:right w:val="nil"/>
            </w:tcBorders>
            <w:shd w:val="clear" w:color="auto" w:fill="000000"/>
          </w:tcPr>
          <w:p w:rsidR="00CE2BF3" w:rsidRPr="00D506FC" w:rsidRDefault="00CE2BF3" w:rsidP="00CE2BF3">
            <w:pPr>
              <w:pStyle w:val="NormalWeb"/>
              <w:rPr>
                <w:b/>
                <w:bCs/>
                <w:color w:val="FFFFFF"/>
              </w:rPr>
            </w:pPr>
            <w:r w:rsidRPr="00D506FC">
              <w:rPr>
                <w:b/>
                <w:bCs/>
                <w:color w:val="FFFFFF"/>
              </w:rPr>
              <w:t>Address:</w:t>
            </w:r>
          </w:p>
        </w:tc>
        <w:tc>
          <w:tcPr>
            <w:tcW w:w="2793" w:type="dxa"/>
            <w:tcBorders>
              <w:top w:val="single" w:sz="8" w:space="0" w:color="404040"/>
              <w:left w:val="nil"/>
              <w:bottom w:val="single" w:sz="8" w:space="0" w:color="404040"/>
              <w:right w:val="single" w:sz="8" w:space="0" w:color="404040"/>
            </w:tcBorders>
            <w:shd w:val="clear" w:color="auto" w:fill="000000"/>
          </w:tcPr>
          <w:p w:rsidR="00CE2BF3" w:rsidRPr="00D506FC" w:rsidRDefault="00CE2BF3" w:rsidP="00CE2BF3">
            <w:pPr>
              <w:pStyle w:val="NormalWeb"/>
              <w:rPr>
                <w:b/>
                <w:bCs/>
                <w:color w:val="FFFFFF"/>
              </w:rPr>
            </w:pPr>
            <w:r w:rsidRPr="00D506FC">
              <w:rPr>
                <w:b/>
                <w:bCs/>
                <w:color w:val="FFFFFF"/>
              </w:rPr>
              <w:t>Amt:</w:t>
            </w:r>
          </w:p>
        </w:tc>
      </w:tr>
      <w:tr w:rsidR="00CE2BF3" w:rsidRPr="00D506FC" w:rsidTr="00D506FC">
        <w:trPr>
          <w:trHeight w:val="548"/>
        </w:trPr>
        <w:tc>
          <w:tcPr>
            <w:tcW w:w="2236" w:type="dxa"/>
            <w:tcBorders>
              <w:right w:val="nil"/>
            </w:tcBorders>
            <w:shd w:val="clear" w:color="auto" w:fill="C0C0C0"/>
          </w:tcPr>
          <w:p w:rsidR="00CE2BF3" w:rsidRPr="00D506FC" w:rsidRDefault="00CE2BF3" w:rsidP="00CE2BF3">
            <w:pPr>
              <w:pStyle w:val="NormalWeb"/>
              <w:rPr>
                <w:b/>
                <w:bCs/>
              </w:rPr>
            </w:pPr>
          </w:p>
        </w:tc>
        <w:tc>
          <w:tcPr>
            <w:tcW w:w="4439" w:type="dxa"/>
            <w:tcBorders>
              <w:left w:val="nil"/>
              <w:right w:val="nil"/>
            </w:tcBorders>
            <w:shd w:val="clear" w:color="auto" w:fill="C0C0C0"/>
          </w:tcPr>
          <w:p w:rsidR="00CE2BF3" w:rsidRDefault="00CE2BF3" w:rsidP="00D506FC">
            <w:pPr>
              <w:pStyle w:val="NormalWeb"/>
              <w:ind w:left="-1966" w:firstLine="90"/>
            </w:pPr>
          </w:p>
        </w:tc>
        <w:tc>
          <w:tcPr>
            <w:tcW w:w="2793" w:type="dxa"/>
            <w:tcBorders>
              <w:left w:val="nil"/>
            </w:tcBorders>
            <w:shd w:val="clear" w:color="auto" w:fill="C0C0C0"/>
          </w:tcPr>
          <w:p w:rsidR="00CE2BF3" w:rsidRDefault="00CE2BF3" w:rsidP="00CE2BF3">
            <w:pPr>
              <w:pStyle w:val="NormalWeb"/>
            </w:pPr>
          </w:p>
        </w:tc>
      </w:tr>
      <w:tr w:rsidR="00CE2BF3" w:rsidRPr="00D506FC" w:rsidTr="00D506FC">
        <w:trPr>
          <w:trHeight w:val="530"/>
        </w:trPr>
        <w:tc>
          <w:tcPr>
            <w:tcW w:w="2236" w:type="dxa"/>
            <w:tcBorders>
              <w:right w:val="nil"/>
            </w:tcBorders>
          </w:tcPr>
          <w:p w:rsidR="00CE2BF3" w:rsidRPr="00D506FC" w:rsidRDefault="00CE2BF3" w:rsidP="00CE2BF3">
            <w:pPr>
              <w:pStyle w:val="NormalWeb"/>
              <w:rPr>
                <w:b/>
                <w:bCs/>
              </w:rPr>
            </w:pPr>
          </w:p>
        </w:tc>
        <w:tc>
          <w:tcPr>
            <w:tcW w:w="4439" w:type="dxa"/>
            <w:tcBorders>
              <w:left w:val="nil"/>
              <w:right w:val="nil"/>
            </w:tcBorders>
          </w:tcPr>
          <w:p w:rsidR="00CE2BF3" w:rsidRDefault="00CE2BF3" w:rsidP="00CE2BF3">
            <w:pPr>
              <w:pStyle w:val="NormalWeb"/>
            </w:pPr>
          </w:p>
        </w:tc>
        <w:tc>
          <w:tcPr>
            <w:tcW w:w="2793" w:type="dxa"/>
            <w:tcBorders>
              <w:left w:val="nil"/>
            </w:tcBorders>
          </w:tcPr>
          <w:p w:rsidR="00CE2BF3" w:rsidRDefault="00CE2BF3" w:rsidP="00CE2BF3">
            <w:pPr>
              <w:pStyle w:val="NormalWeb"/>
            </w:pPr>
          </w:p>
        </w:tc>
      </w:tr>
      <w:tr w:rsidR="00CE2BF3" w:rsidRPr="00D506FC" w:rsidTr="00D506FC">
        <w:trPr>
          <w:trHeight w:val="512"/>
        </w:trPr>
        <w:tc>
          <w:tcPr>
            <w:tcW w:w="2236" w:type="dxa"/>
            <w:tcBorders>
              <w:right w:val="nil"/>
            </w:tcBorders>
            <w:shd w:val="clear" w:color="auto" w:fill="C0C0C0"/>
          </w:tcPr>
          <w:p w:rsidR="00CE2BF3" w:rsidRPr="00D506FC" w:rsidRDefault="00CE2BF3" w:rsidP="00CE2BF3">
            <w:pPr>
              <w:pStyle w:val="NormalWeb"/>
              <w:rPr>
                <w:b/>
                <w:bCs/>
              </w:rPr>
            </w:pPr>
          </w:p>
        </w:tc>
        <w:tc>
          <w:tcPr>
            <w:tcW w:w="4439" w:type="dxa"/>
            <w:tcBorders>
              <w:left w:val="nil"/>
              <w:right w:val="nil"/>
            </w:tcBorders>
            <w:shd w:val="clear" w:color="auto" w:fill="C0C0C0"/>
          </w:tcPr>
          <w:p w:rsidR="00CE2BF3" w:rsidRDefault="00CE2BF3" w:rsidP="00CE2BF3">
            <w:pPr>
              <w:pStyle w:val="NormalWeb"/>
            </w:pPr>
          </w:p>
        </w:tc>
        <w:tc>
          <w:tcPr>
            <w:tcW w:w="2793" w:type="dxa"/>
            <w:tcBorders>
              <w:left w:val="nil"/>
            </w:tcBorders>
            <w:shd w:val="clear" w:color="auto" w:fill="C0C0C0"/>
          </w:tcPr>
          <w:p w:rsidR="00CE2BF3" w:rsidRDefault="00CE2BF3" w:rsidP="00CE2BF3">
            <w:pPr>
              <w:pStyle w:val="NormalWeb"/>
            </w:pPr>
          </w:p>
        </w:tc>
      </w:tr>
      <w:tr w:rsidR="00CE2BF3" w:rsidRPr="00D506FC" w:rsidTr="00D506FC">
        <w:trPr>
          <w:trHeight w:val="503"/>
        </w:trPr>
        <w:tc>
          <w:tcPr>
            <w:tcW w:w="2236" w:type="dxa"/>
            <w:tcBorders>
              <w:right w:val="nil"/>
            </w:tcBorders>
          </w:tcPr>
          <w:p w:rsidR="00CE2BF3" w:rsidRPr="00D506FC" w:rsidRDefault="00CE2BF3" w:rsidP="00CE2BF3">
            <w:pPr>
              <w:pStyle w:val="NormalWeb"/>
              <w:rPr>
                <w:b/>
                <w:bCs/>
              </w:rPr>
            </w:pPr>
          </w:p>
        </w:tc>
        <w:tc>
          <w:tcPr>
            <w:tcW w:w="4439" w:type="dxa"/>
            <w:tcBorders>
              <w:left w:val="nil"/>
              <w:right w:val="nil"/>
            </w:tcBorders>
          </w:tcPr>
          <w:p w:rsidR="00CE2BF3" w:rsidRDefault="00CE2BF3" w:rsidP="00CE2BF3">
            <w:pPr>
              <w:pStyle w:val="NormalWeb"/>
            </w:pPr>
          </w:p>
        </w:tc>
        <w:tc>
          <w:tcPr>
            <w:tcW w:w="2793" w:type="dxa"/>
            <w:tcBorders>
              <w:left w:val="nil"/>
            </w:tcBorders>
          </w:tcPr>
          <w:p w:rsidR="00CE2BF3" w:rsidRDefault="00CE2BF3" w:rsidP="00CE2BF3">
            <w:pPr>
              <w:pStyle w:val="NormalWeb"/>
            </w:pPr>
          </w:p>
        </w:tc>
      </w:tr>
      <w:tr w:rsidR="00CE2BF3" w:rsidRPr="00D506FC" w:rsidTr="00D506FC">
        <w:trPr>
          <w:trHeight w:val="575"/>
        </w:trPr>
        <w:tc>
          <w:tcPr>
            <w:tcW w:w="2236" w:type="dxa"/>
            <w:tcBorders>
              <w:right w:val="nil"/>
            </w:tcBorders>
            <w:shd w:val="clear" w:color="auto" w:fill="C0C0C0"/>
          </w:tcPr>
          <w:p w:rsidR="00CE2BF3" w:rsidRPr="00D506FC" w:rsidRDefault="00CE2BF3" w:rsidP="00CE2BF3">
            <w:pPr>
              <w:pStyle w:val="NormalWeb"/>
              <w:rPr>
                <w:b/>
                <w:bCs/>
              </w:rPr>
            </w:pPr>
          </w:p>
        </w:tc>
        <w:tc>
          <w:tcPr>
            <w:tcW w:w="4439" w:type="dxa"/>
            <w:tcBorders>
              <w:left w:val="nil"/>
              <w:right w:val="nil"/>
            </w:tcBorders>
            <w:shd w:val="clear" w:color="auto" w:fill="C0C0C0"/>
          </w:tcPr>
          <w:p w:rsidR="00CE2BF3" w:rsidRDefault="00CE2BF3" w:rsidP="00CE2BF3">
            <w:pPr>
              <w:pStyle w:val="NormalWeb"/>
            </w:pPr>
          </w:p>
        </w:tc>
        <w:tc>
          <w:tcPr>
            <w:tcW w:w="2793" w:type="dxa"/>
            <w:tcBorders>
              <w:left w:val="nil"/>
            </w:tcBorders>
            <w:shd w:val="clear" w:color="auto" w:fill="C0C0C0"/>
          </w:tcPr>
          <w:p w:rsidR="00CE2BF3" w:rsidRDefault="00CE2BF3" w:rsidP="00CE2BF3">
            <w:pPr>
              <w:pStyle w:val="NormalWeb"/>
            </w:pPr>
          </w:p>
        </w:tc>
      </w:tr>
      <w:tr w:rsidR="00CE2BF3" w:rsidRPr="00D506FC" w:rsidTr="00D506FC">
        <w:trPr>
          <w:trHeight w:val="530"/>
        </w:trPr>
        <w:tc>
          <w:tcPr>
            <w:tcW w:w="2236" w:type="dxa"/>
            <w:tcBorders>
              <w:right w:val="nil"/>
            </w:tcBorders>
          </w:tcPr>
          <w:p w:rsidR="00CE2BF3" w:rsidRPr="00D506FC" w:rsidRDefault="00CE2BF3" w:rsidP="00CE2BF3">
            <w:pPr>
              <w:pStyle w:val="NormalWeb"/>
              <w:rPr>
                <w:b/>
                <w:bCs/>
              </w:rPr>
            </w:pPr>
          </w:p>
        </w:tc>
        <w:tc>
          <w:tcPr>
            <w:tcW w:w="4439" w:type="dxa"/>
            <w:tcBorders>
              <w:left w:val="nil"/>
              <w:right w:val="nil"/>
            </w:tcBorders>
          </w:tcPr>
          <w:p w:rsidR="00CE2BF3" w:rsidRDefault="00CE2BF3" w:rsidP="00CE2BF3">
            <w:pPr>
              <w:pStyle w:val="NormalWeb"/>
            </w:pPr>
          </w:p>
        </w:tc>
        <w:tc>
          <w:tcPr>
            <w:tcW w:w="2793" w:type="dxa"/>
            <w:tcBorders>
              <w:left w:val="nil"/>
            </w:tcBorders>
          </w:tcPr>
          <w:p w:rsidR="00CE2BF3" w:rsidRDefault="00CE2BF3" w:rsidP="00CE2BF3">
            <w:pPr>
              <w:pStyle w:val="NormalWeb"/>
            </w:pPr>
          </w:p>
        </w:tc>
      </w:tr>
      <w:tr w:rsidR="00CE2BF3" w:rsidRPr="00D506FC" w:rsidTr="00D506FC">
        <w:trPr>
          <w:trHeight w:val="620"/>
        </w:trPr>
        <w:tc>
          <w:tcPr>
            <w:tcW w:w="2236" w:type="dxa"/>
            <w:tcBorders>
              <w:right w:val="nil"/>
            </w:tcBorders>
            <w:shd w:val="clear" w:color="auto" w:fill="C0C0C0"/>
          </w:tcPr>
          <w:p w:rsidR="00CE2BF3" w:rsidRPr="00D506FC" w:rsidRDefault="00CE2BF3" w:rsidP="00CE2BF3">
            <w:pPr>
              <w:pStyle w:val="NormalWeb"/>
              <w:rPr>
                <w:b/>
                <w:bCs/>
              </w:rPr>
            </w:pPr>
          </w:p>
        </w:tc>
        <w:tc>
          <w:tcPr>
            <w:tcW w:w="4439" w:type="dxa"/>
            <w:tcBorders>
              <w:left w:val="nil"/>
              <w:right w:val="nil"/>
            </w:tcBorders>
            <w:shd w:val="clear" w:color="auto" w:fill="C0C0C0"/>
          </w:tcPr>
          <w:p w:rsidR="00CE2BF3" w:rsidRDefault="00CE2BF3" w:rsidP="00CE2BF3">
            <w:pPr>
              <w:pStyle w:val="NormalWeb"/>
            </w:pPr>
          </w:p>
        </w:tc>
        <w:tc>
          <w:tcPr>
            <w:tcW w:w="2793" w:type="dxa"/>
            <w:tcBorders>
              <w:left w:val="nil"/>
            </w:tcBorders>
            <w:shd w:val="clear" w:color="auto" w:fill="C0C0C0"/>
          </w:tcPr>
          <w:p w:rsidR="00CE2BF3" w:rsidRDefault="00CE2BF3" w:rsidP="00CE2BF3">
            <w:pPr>
              <w:pStyle w:val="NormalWeb"/>
            </w:pPr>
          </w:p>
        </w:tc>
      </w:tr>
      <w:tr w:rsidR="00CE2BF3" w:rsidRPr="00D506FC" w:rsidTr="00D506FC">
        <w:trPr>
          <w:trHeight w:val="620"/>
        </w:trPr>
        <w:tc>
          <w:tcPr>
            <w:tcW w:w="2236" w:type="dxa"/>
            <w:tcBorders>
              <w:right w:val="nil"/>
            </w:tcBorders>
          </w:tcPr>
          <w:p w:rsidR="00CE2BF3" w:rsidRPr="00D506FC" w:rsidRDefault="00CE2BF3" w:rsidP="00CE2BF3">
            <w:pPr>
              <w:pStyle w:val="NormalWeb"/>
              <w:rPr>
                <w:b/>
                <w:bCs/>
              </w:rPr>
            </w:pPr>
          </w:p>
        </w:tc>
        <w:tc>
          <w:tcPr>
            <w:tcW w:w="4439" w:type="dxa"/>
            <w:tcBorders>
              <w:left w:val="nil"/>
              <w:right w:val="nil"/>
            </w:tcBorders>
          </w:tcPr>
          <w:p w:rsidR="00CE2BF3" w:rsidRDefault="00CE2BF3" w:rsidP="00CE2BF3">
            <w:pPr>
              <w:pStyle w:val="NormalWeb"/>
            </w:pPr>
          </w:p>
        </w:tc>
        <w:tc>
          <w:tcPr>
            <w:tcW w:w="2793" w:type="dxa"/>
            <w:tcBorders>
              <w:left w:val="nil"/>
            </w:tcBorders>
          </w:tcPr>
          <w:p w:rsidR="00CE2BF3" w:rsidRDefault="00CE2BF3" w:rsidP="00CE2BF3">
            <w:pPr>
              <w:pStyle w:val="NormalWeb"/>
            </w:pPr>
          </w:p>
        </w:tc>
      </w:tr>
      <w:tr w:rsidR="00CE2BF3" w:rsidRPr="00D506FC" w:rsidTr="00D506FC">
        <w:trPr>
          <w:trHeight w:val="620"/>
        </w:trPr>
        <w:tc>
          <w:tcPr>
            <w:tcW w:w="2236" w:type="dxa"/>
            <w:tcBorders>
              <w:right w:val="nil"/>
            </w:tcBorders>
            <w:shd w:val="clear" w:color="auto" w:fill="C0C0C0"/>
          </w:tcPr>
          <w:p w:rsidR="00CE2BF3" w:rsidRPr="00D506FC" w:rsidRDefault="00CE2BF3" w:rsidP="00CE2BF3">
            <w:pPr>
              <w:pStyle w:val="NormalWeb"/>
              <w:rPr>
                <w:b/>
                <w:bCs/>
              </w:rPr>
            </w:pPr>
          </w:p>
        </w:tc>
        <w:tc>
          <w:tcPr>
            <w:tcW w:w="4439" w:type="dxa"/>
            <w:tcBorders>
              <w:left w:val="nil"/>
              <w:right w:val="nil"/>
            </w:tcBorders>
            <w:shd w:val="clear" w:color="auto" w:fill="C0C0C0"/>
          </w:tcPr>
          <w:p w:rsidR="00CE2BF3" w:rsidRDefault="00CE2BF3" w:rsidP="00CE2BF3">
            <w:pPr>
              <w:pStyle w:val="NormalWeb"/>
            </w:pPr>
          </w:p>
        </w:tc>
        <w:tc>
          <w:tcPr>
            <w:tcW w:w="2793" w:type="dxa"/>
            <w:tcBorders>
              <w:left w:val="nil"/>
            </w:tcBorders>
            <w:shd w:val="clear" w:color="auto" w:fill="C0C0C0"/>
          </w:tcPr>
          <w:p w:rsidR="00CE2BF3" w:rsidRDefault="00CE2BF3" w:rsidP="00CE2BF3">
            <w:pPr>
              <w:pStyle w:val="NormalWeb"/>
            </w:pPr>
          </w:p>
        </w:tc>
      </w:tr>
      <w:tr w:rsidR="00CE2BF3" w:rsidRPr="00D506FC" w:rsidTr="00D506FC">
        <w:trPr>
          <w:trHeight w:val="620"/>
        </w:trPr>
        <w:tc>
          <w:tcPr>
            <w:tcW w:w="2236" w:type="dxa"/>
            <w:tcBorders>
              <w:right w:val="nil"/>
            </w:tcBorders>
          </w:tcPr>
          <w:p w:rsidR="00CE2BF3" w:rsidRPr="00D506FC" w:rsidRDefault="00CE2BF3" w:rsidP="00CE2BF3">
            <w:pPr>
              <w:pStyle w:val="NormalWeb"/>
              <w:rPr>
                <w:b/>
                <w:bCs/>
              </w:rPr>
            </w:pPr>
          </w:p>
        </w:tc>
        <w:tc>
          <w:tcPr>
            <w:tcW w:w="4439" w:type="dxa"/>
            <w:tcBorders>
              <w:left w:val="nil"/>
              <w:right w:val="nil"/>
            </w:tcBorders>
          </w:tcPr>
          <w:p w:rsidR="00CE2BF3" w:rsidRDefault="00CE2BF3" w:rsidP="00CE2BF3">
            <w:pPr>
              <w:pStyle w:val="NormalWeb"/>
            </w:pPr>
          </w:p>
        </w:tc>
        <w:tc>
          <w:tcPr>
            <w:tcW w:w="2793" w:type="dxa"/>
            <w:tcBorders>
              <w:left w:val="nil"/>
            </w:tcBorders>
          </w:tcPr>
          <w:p w:rsidR="00CE2BF3" w:rsidRDefault="00CE2BF3" w:rsidP="00CE2BF3">
            <w:pPr>
              <w:pStyle w:val="NormalWeb"/>
            </w:pPr>
          </w:p>
        </w:tc>
      </w:tr>
      <w:tr w:rsidR="00CE2BF3" w:rsidRPr="00D506FC" w:rsidTr="00D506FC">
        <w:trPr>
          <w:trHeight w:val="620"/>
        </w:trPr>
        <w:tc>
          <w:tcPr>
            <w:tcW w:w="2236" w:type="dxa"/>
            <w:tcBorders>
              <w:right w:val="nil"/>
            </w:tcBorders>
            <w:shd w:val="clear" w:color="auto" w:fill="C0C0C0"/>
          </w:tcPr>
          <w:p w:rsidR="00CE2BF3" w:rsidRPr="00D506FC" w:rsidRDefault="00CE2BF3" w:rsidP="00CE2BF3">
            <w:pPr>
              <w:pStyle w:val="NormalWeb"/>
              <w:rPr>
                <w:b/>
                <w:bCs/>
              </w:rPr>
            </w:pPr>
          </w:p>
        </w:tc>
        <w:tc>
          <w:tcPr>
            <w:tcW w:w="4439" w:type="dxa"/>
            <w:tcBorders>
              <w:left w:val="nil"/>
              <w:right w:val="nil"/>
            </w:tcBorders>
            <w:shd w:val="clear" w:color="auto" w:fill="C0C0C0"/>
          </w:tcPr>
          <w:p w:rsidR="00CE2BF3" w:rsidRDefault="00CE2BF3" w:rsidP="00CE2BF3">
            <w:pPr>
              <w:pStyle w:val="NormalWeb"/>
            </w:pPr>
          </w:p>
        </w:tc>
        <w:tc>
          <w:tcPr>
            <w:tcW w:w="2793" w:type="dxa"/>
            <w:tcBorders>
              <w:left w:val="nil"/>
            </w:tcBorders>
            <w:shd w:val="clear" w:color="auto" w:fill="C0C0C0"/>
          </w:tcPr>
          <w:p w:rsidR="00CE2BF3" w:rsidRDefault="00CE2BF3" w:rsidP="00CE2BF3">
            <w:pPr>
              <w:pStyle w:val="NormalWeb"/>
            </w:pPr>
          </w:p>
        </w:tc>
      </w:tr>
      <w:tr w:rsidR="00CE2BF3" w:rsidRPr="00D506FC" w:rsidTr="00D506FC">
        <w:trPr>
          <w:trHeight w:val="620"/>
        </w:trPr>
        <w:tc>
          <w:tcPr>
            <w:tcW w:w="2236" w:type="dxa"/>
            <w:tcBorders>
              <w:right w:val="nil"/>
            </w:tcBorders>
          </w:tcPr>
          <w:p w:rsidR="00CE2BF3" w:rsidRPr="00D506FC" w:rsidRDefault="00CE2BF3" w:rsidP="00CE2BF3">
            <w:pPr>
              <w:pStyle w:val="NormalWeb"/>
              <w:rPr>
                <w:b/>
                <w:bCs/>
              </w:rPr>
            </w:pPr>
          </w:p>
        </w:tc>
        <w:tc>
          <w:tcPr>
            <w:tcW w:w="4439" w:type="dxa"/>
            <w:tcBorders>
              <w:left w:val="nil"/>
              <w:right w:val="nil"/>
            </w:tcBorders>
          </w:tcPr>
          <w:p w:rsidR="00CE2BF3" w:rsidRDefault="00CE2BF3" w:rsidP="00CE2BF3">
            <w:pPr>
              <w:pStyle w:val="NormalWeb"/>
            </w:pPr>
          </w:p>
        </w:tc>
        <w:tc>
          <w:tcPr>
            <w:tcW w:w="2793" w:type="dxa"/>
            <w:tcBorders>
              <w:left w:val="nil"/>
            </w:tcBorders>
          </w:tcPr>
          <w:p w:rsidR="00CE2BF3" w:rsidRDefault="00CE2BF3" w:rsidP="00CE2BF3">
            <w:pPr>
              <w:pStyle w:val="NormalWeb"/>
            </w:pPr>
          </w:p>
        </w:tc>
      </w:tr>
    </w:tbl>
    <w:p w:rsidR="00405A54" w:rsidRPr="00405A54" w:rsidRDefault="00405A54" w:rsidP="00BB5C20"/>
    <w:sectPr w:rsidR="00405A54" w:rsidRPr="00405A54" w:rsidSect="008554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2FA" w:rsidRDefault="007172FA" w:rsidP="008353B8">
      <w:pPr>
        <w:spacing w:after="0" w:line="240" w:lineRule="auto"/>
      </w:pPr>
      <w:r>
        <w:separator/>
      </w:r>
    </w:p>
  </w:endnote>
  <w:endnote w:type="continuationSeparator" w:id="0">
    <w:p w:rsidR="007172FA" w:rsidRDefault="007172FA" w:rsidP="00835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2FA" w:rsidRDefault="007172FA" w:rsidP="008353B8">
      <w:pPr>
        <w:spacing w:after="0" w:line="240" w:lineRule="auto"/>
      </w:pPr>
      <w:r>
        <w:separator/>
      </w:r>
    </w:p>
  </w:footnote>
  <w:footnote w:type="continuationSeparator" w:id="0">
    <w:p w:rsidR="007172FA" w:rsidRDefault="007172FA" w:rsidP="008353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46599"/>
    <w:multiLevelType w:val="hybridMultilevel"/>
    <w:tmpl w:val="44F82A6E"/>
    <w:lvl w:ilvl="0" w:tplc="F946A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55557F"/>
    <w:multiLevelType w:val="hybridMultilevel"/>
    <w:tmpl w:val="ED88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405A54"/>
    <w:rsid w:val="000666E9"/>
    <w:rsid w:val="000D1054"/>
    <w:rsid w:val="000E180C"/>
    <w:rsid w:val="001B2D3B"/>
    <w:rsid w:val="003100E1"/>
    <w:rsid w:val="00343F09"/>
    <w:rsid w:val="00357CDF"/>
    <w:rsid w:val="00405A54"/>
    <w:rsid w:val="00513631"/>
    <w:rsid w:val="00607AF4"/>
    <w:rsid w:val="006D13F8"/>
    <w:rsid w:val="007172FA"/>
    <w:rsid w:val="007A71AA"/>
    <w:rsid w:val="008353B8"/>
    <w:rsid w:val="008554C2"/>
    <w:rsid w:val="008A1CD8"/>
    <w:rsid w:val="009D3C57"/>
    <w:rsid w:val="00A80017"/>
    <w:rsid w:val="00A84363"/>
    <w:rsid w:val="00BB5C20"/>
    <w:rsid w:val="00C80754"/>
    <w:rsid w:val="00CA5A27"/>
    <w:rsid w:val="00CC0AF8"/>
    <w:rsid w:val="00CE2BF3"/>
    <w:rsid w:val="00D506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4C2"/>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5A5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666E9"/>
    <w:rPr>
      <w:i/>
      <w:iCs/>
    </w:rPr>
  </w:style>
  <w:style w:type="character" w:styleId="Strong">
    <w:name w:val="Strong"/>
    <w:basedOn w:val="DefaultParagraphFont"/>
    <w:uiPriority w:val="22"/>
    <w:qFormat/>
    <w:rsid w:val="000666E9"/>
    <w:rPr>
      <w:b/>
      <w:bCs/>
    </w:rPr>
  </w:style>
  <w:style w:type="paragraph" w:customStyle="1" w:styleId="grid12">
    <w:name w:val="grid_12"/>
    <w:basedOn w:val="Normal"/>
    <w:rsid w:val="000666E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666E9"/>
    <w:rPr>
      <w:color w:val="0000FF"/>
      <w:u w:val="single"/>
    </w:rPr>
  </w:style>
  <w:style w:type="paragraph" w:styleId="ListParagraph">
    <w:name w:val="List Paragraph"/>
    <w:basedOn w:val="Normal"/>
    <w:uiPriority w:val="34"/>
    <w:qFormat/>
    <w:rsid w:val="00357CDF"/>
    <w:pPr>
      <w:ind w:left="720"/>
      <w:contextualSpacing/>
    </w:pPr>
  </w:style>
  <w:style w:type="paragraph" w:styleId="Header">
    <w:name w:val="header"/>
    <w:basedOn w:val="Normal"/>
    <w:link w:val="HeaderChar"/>
    <w:uiPriority w:val="99"/>
    <w:semiHidden/>
    <w:unhideWhenUsed/>
    <w:rsid w:val="008353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53B8"/>
  </w:style>
  <w:style w:type="paragraph" w:styleId="Footer">
    <w:name w:val="footer"/>
    <w:basedOn w:val="Normal"/>
    <w:link w:val="FooterChar"/>
    <w:uiPriority w:val="99"/>
    <w:semiHidden/>
    <w:unhideWhenUsed/>
    <w:rsid w:val="008353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53B8"/>
  </w:style>
  <w:style w:type="table" w:styleId="TableGrid">
    <w:name w:val="Table Grid"/>
    <w:basedOn w:val="TableNormal"/>
    <w:uiPriority w:val="59"/>
    <w:rsid w:val="00CE2B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4">
    <w:name w:val="Light Shading Accent 4"/>
    <w:basedOn w:val="TableNormal"/>
    <w:uiPriority w:val="60"/>
    <w:rsid w:val="00CE2BF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E2BF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
    <w:name w:val="Medium Shading 1"/>
    <w:basedOn w:val="TableNormal"/>
    <w:uiPriority w:val="63"/>
    <w:rsid w:val="00CE2BF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108429211">
      <w:bodyDiv w:val="1"/>
      <w:marLeft w:val="0"/>
      <w:marRight w:val="0"/>
      <w:marTop w:val="0"/>
      <w:marBottom w:val="0"/>
      <w:divBdr>
        <w:top w:val="none" w:sz="0" w:space="0" w:color="auto"/>
        <w:left w:val="none" w:sz="0" w:space="0" w:color="auto"/>
        <w:bottom w:val="none" w:sz="0" w:space="0" w:color="auto"/>
        <w:right w:val="none" w:sz="0" w:space="0" w:color="auto"/>
      </w:divBdr>
    </w:div>
    <w:div w:id="1830053666">
      <w:bodyDiv w:val="1"/>
      <w:marLeft w:val="0"/>
      <w:marRight w:val="0"/>
      <w:marTop w:val="0"/>
      <w:marBottom w:val="0"/>
      <w:divBdr>
        <w:top w:val="none" w:sz="0" w:space="0" w:color="auto"/>
        <w:left w:val="none" w:sz="0" w:space="0" w:color="auto"/>
        <w:bottom w:val="none" w:sz="0" w:space="0" w:color="auto"/>
        <w:right w:val="none" w:sz="0" w:space="0" w:color="auto"/>
      </w:divBdr>
    </w:div>
    <w:div w:id="20056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dingcancerinourgeneration.org" TargetMode="External"/><Relationship Id="rId13" Type="http://schemas.openxmlformats.org/officeDocument/2006/relationships/hyperlink" Target="mailto:jakir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eronsiemer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itjump.blogspo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esamfund.org/" TargetMode="External"/><Relationship Id="rId4" Type="http://schemas.openxmlformats.org/officeDocument/2006/relationships/settings" Target="settings.xml"/><Relationship Id="rId9" Type="http://schemas.openxmlformats.org/officeDocument/2006/relationships/hyperlink" Target="http://i2y.com/index.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27948-B161-4AB5-892B-D3D6E5B7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4475</CharactersWithSpaces>
  <SharedDoc>false</SharedDoc>
  <HLinks>
    <vt:vector size="36" baseType="variant">
      <vt:variant>
        <vt:i4>1900580</vt:i4>
      </vt:variant>
      <vt:variant>
        <vt:i4>15</vt:i4>
      </vt:variant>
      <vt:variant>
        <vt:i4>0</vt:i4>
      </vt:variant>
      <vt:variant>
        <vt:i4>5</vt:i4>
      </vt:variant>
      <vt:variant>
        <vt:lpwstr>mailto:jakirch@gmail.com</vt:lpwstr>
      </vt:variant>
      <vt:variant>
        <vt:lpwstr/>
      </vt:variant>
      <vt:variant>
        <vt:i4>3932211</vt:i4>
      </vt:variant>
      <vt:variant>
        <vt:i4>12</vt:i4>
      </vt:variant>
      <vt:variant>
        <vt:i4>0</vt:i4>
      </vt:variant>
      <vt:variant>
        <vt:i4>5</vt:i4>
      </vt:variant>
      <vt:variant>
        <vt:lpwstr>http://www.cameronsiemers.org/</vt:lpwstr>
      </vt:variant>
      <vt:variant>
        <vt:lpwstr/>
      </vt:variant>
      <vt:variant>
        <vt:i4>7340074</vt:i4>
      </vt:variant>
      <vt:variant>
        <vt:i4>9</vt:i4>
      </vt:variant>
      <vt:variant>
        <vt:i4>0</vt:i4>
      </vt:variant>
      <vt:variant>
        <vt:i4>5</vt:i4>
      </vt:variant>
      <vt:variant>
        <vt:lpwstr>http://spiritjump.blogspot.com/</vt:lpwstr>
      </vt:variant>
      <vt:variant>
        <vt:lpwstr/>
      </vt:variant>
      <vt:variant>
        <vt:i4>2097215</vt:i4>
      </vt:variant>
      <vt:variant>
        <vt:i4>6</vt:i4>
      </vt:variant>
      <vt:variant>
        <vt:i4>0</vt:i4>
      </vt:variant>
      <vt:variant>
        <vt:i4>5</vt:i4>
      </vt:variant>
      <vt:variant>
        <vt:lpwstr>http://www.thesamfund.org/</vt:lpwstr>
      </vt:variant>
      <vt:variant>
        <vt:lpwstr/>
      </vt:variant>
      <vt:variant>
        <vt:i4>2818165</vt:i4>
      </vt:variant>
      <vt:variant>
        <vt:i4>3</vt:i4>
      </vt:variant>
      <vt:variant>
        <vt:i4>0</vt:i4>
      </vt:variant>
      <vt:variant>
        <vt:i4>5</vt:i4>
      </vt:variant>
      <vt:variant>
        <vt:lpwstr>http://i2y.com/index.shtml</vt:lpwstr>
      </vt:variant>
      <vt:variant>
        <vt:lpwstr/>
      </vt:variant>
      <vt:variant>
        <vt:i4>3539047</vt:i4>
      </vt:variant>
      <vt:variant>
        <vt:i4>0</vt:i4>
      </vt:variant>
      <vt:variant>
        <vt:i4>0</vt:i4>
      </vt:variant>
      <vt:variant>
        <vt:i4>5</vt:i4>
      </vt:variant>
      <vt:variant>
        <vt:lpwstr>http://www.endingcancerinourgeneration.org/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dc:creator>
  <cp:lastModifiedBy>Fish3</cp:lastModifiedBy>
  <cp:revision>2</cp:revision>
  <dcterms:created xsi:type="dcterms:W3CDTF">2011-06-25T21:09:00Z</dcterms:created>
  <dcterms:modified xsi:type="dcterms:W3CDTF">2011-06-25T21:09:00Z</dcterms:modified>
</cp:coreProperties>
</file>